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12C0" w14:textId="77777777" w:rsidR="009F5279" w:rsidRDefault="009F5279" w:rsidP="009F5279">
      <w:pPr>
        <w:spacing w:before="100" w:beforeAutospacing="1" w:after="0" w:line="240" w:lineRule="auto"/>
        <w:jc w:val="center"/>
        <w:rPr>
          <w:rFonts w:ascii="Arial" w:eastAsia="Times New Roman" w:hAnsi="Arial" w:cs="Arial"/>
          <w:b/>
          <w:bCs/>
          <w:iCs/>
          <w:sz w:val="28"/>
          <w:szCs w:val="28"/>
        </w:rPr>
      </w:pPr>
      <w:r>
        <w:rPr>
          <w:rFonts w:ascii="Arial" w:eastAsia="Times New Roman" w:hAnsi="Arial" w:cs="Arial"/>
          <w:b/>
          <w:bCs/>
          <w:iCs/>
          <w:sz w:val="28"/>
          <w:szCs w:val="28"/>
        </w:rPr>
        <w:t>Medical Laboratory Technology (MLT) Program Outcome Measures</w:t>
      </w:r>
    </w:p>
    <w:tbl>
      <w:tblPr>
        <w:tblW w:w="140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430"/>
        <w:gridCol w:w="2430"/>
        <w:gridCol w:w="2340"/>
        <w:gridCol w:w="2700"/>
      </w:tblGrid>
      <w:tr w:rsidR="009F5279" w14:paraId="741540D2" w14:textId="77777777" w:rsidTr="004826F8">
        <w:trPr>
          <w:trHeight w:val="275"/>
        </w:trPr>
        <w:tc>
          <w:tcPr>
            <w:tcW w:w="140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14948" w14:textId="77777777" w:rsidR="009F5279" w:rsidRDefault="009F5279" w:rsidP="004826F8">
            <w:pPr>
              <w:spacing w:before="100" w:beforeAutospacing="1"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 xml:space="preserve"> MU MLT Program Graduation Rates*</w:t>
            </w:r>
          </w:p>
        </w:tc>
      </w:tr>
      <w:tr w:rsidR="009F5279" w14:paraId="1F89133F" w14:textId="77777777" w:rsidTr="004826F8">
        <w:trPr>
          <w:trHeight w:val="1641"/>
        </w:trPr>
        <w:tc>
          <w:tcPr>
            <w:tcW w:w="4140" w:type="dxa"/>
            <w:tcBorders>
              <w:top w:val="single" w:sz="4" w:space="0" w:color="auto"/>
              <w:left w:val="single" w:sz="4" w:space="0" w:color="auto"/>
              <w:bottom w:val="single" w:sz="4" w:space="0" w:color="auto"/>
              <w:right w:val="single" w:sz="4" w:space="0" w:color="auto"/>
            </w:tcBorders>
            <w:hideMark/>
          </w:tcPr>
          <w:p w14:paraId="6E64A741"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 xml:space="preserve">NAACLS Annual Report Data for Year:  </w:t>
            </w:r>
          </w:p>
        </w:tc>
        <w:tc>
          <w:tcPr>
            <w:tcW w:w="2430" w:type="dxa"/>
            <w:tcBorders>
              <w:top w:val="single" w:sz="4" w:space="0" w:color="auto"/>
              <w:left w:val="single" w:sz="4" w:space="0" w:color="auto"/>
              <w:bottom w:val="single" w:sz="4" w:space="0" w:color="auto"/>
              <w:right w:val="single" w:sz="4" w:space="0" w:color="auto"/>
            </w:tcBorders>
            <w:hideMark/>
          </w:tcPr>
          <w:p w14:paraId="26716944"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2022</w:t>
            </w:r>
          </w:p>
          <w:p w14:paraId="67E02AE5"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7/1/20 – 6/30/21</w:t>
            </w:r>
          </w:p>
        </w:tc>
        <w:tc>
          <w:tcPr>
            <w:tcW w:w="2430" w:type="dxa"/>
            <w:tcBorders>
              <w:top w:val="single" w:sz="4" w:space="0" w:color="auto"/>
              <w:left w:val="single" w:sz="4" w:space="0" w:color="auto"/>
              <w:bottom w:val="single" w:sz="4" w:space="0" w:color="auto"/>
              <w:right w:val="single" w:sz="4" w:space="0" w:color="auto"/>
            </w:tcBorders>
            <w:hideMark/>
          </w:tcPr>
          <w:p w14:paraId="1DDA8130"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2023</w:t>
            </w:r>
          </w:p>
          <w:p w14:paraId="629ADACA"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7/1/21 – 6/30/22</w:t>
            </w:r>
          </w:p>
        </w:tc>
        <w:tc>
          <w:tcPr>
            <w:tcW w:w="2340" w:type="dxa"/>
            <w:tcBorders>
              <w:top w:val="single" w:sz="4" w:space="0" w:color="auto"/>
              <w:left w:val="single" w:sz="4" w:space="0" w:color="auto"/>
              <w:bottom w:val="single" w:sz="4" w:space="0" w:color="auto"/>
              <w:right w:val="single" w:sz="4" w:space="0" w:color="auto"/>
            </w:tcBorders>
          </w:tcPr>
          <w:p w14:paraId="69C854BE"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sidRPr="00F02216">
              <w:rPr>
                <w:rFonts w:ascii="Arial" w:eastAsia="Times New Roman" w:hAnsi="Arial" w:cs="Arial"/>
                <w:bCs/>
                <w:iCs/>
                <w:sz w:val="24"/>
                <w:szCs w:val="24"/>
              </w:rPr>
              <w:t>2024</w:t>
            </w:r>
          </w:p>
          <w:p w14:paraId="4567E34D" w14:textId="77777777" w:rsidR="009F5279" w:rsidRPr="00F02216"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Graduates between 7/1/22 – 6/30/23</w:t>
            </w:r>
          </w:p>
        </w:tc>
        <w:tc>
          <w:tcPr>
            <w:tcW w:w="2700" w:type="dxa"/>
            <w:tcBorders>
              <w:top w:val="single" w:sz="4" w:space="0" w:color="auto"/>
              <w:left w:val="single" w:sz="4" w:space="0" w:color="auto"/>
              <w:bottom w:val="single" w:sz="4" w:space="0" w:color="auto"/>
              <w:right w:val="single" w:sz="4" w:space="0" w:color="auto"/>
            </w:tcBorders>
            <w:hideMark/>
          </w:tcPr>
          <w:p w14:paraId="3D87D87D"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3-year average</w:t>
            </w:r>
          </w:p>
        </w:tc>
      </w:tr>
      <w:tr w:rsidR="009F5279" w14:paraId="73B83FB8" w14:textId="77777777" w:rsidTr="004826F8">
        <w:trPr>
          <w:trHeight w:val="1655"/>
        </w:trPr>
        <w:tc>
          <w:tcPr>
            <w:tcW w:w="4140" w:type="dxa"/>
            <w:tcBorders>
              <w:top w:val="single" w:sz="4" w:space="0" w:color="auto"/>
              <w:left w:val="single" w:sz="4" w:space="0" w:color="auto"/>
              <w:bottom w:val="single" w:sz="4" w:space="0" w:color="auto"/>
              <w:right w:val="single" w:sz="4" w:space="0" w:color="auto"/>
            </w:tcBorders>
            <w:hideMark/>
          </w:tcPr>
          <w:p w14:paraId="68B41793"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Students entering the final half of the program year and graduated/# who began the final half and are still not enrolled in the program</w:t>
            </w:r>
          </w:p>
        </w:tc>
        <w:tc>
          <w:tcPr>
            <w:tcW w:w="2430" w:type="dxa"/>
            <w:tcBorders>
              <w:top w:val="single" w:sz="4" w:space="0" w:color="auto"/>
              <w:left w:val="single" w:sz="4" w:space="0" w:color="auto"/>
              <w:bottom w:val="single" w:sz="4" w:space="0" w:color="auto"/>
              <w:right w:val="single" w:sz="4" w:space="0" w:color="auto"/>
            </w:tcBorders>
            <w:hideMark/>
          </w:tcPr>
          <w:p w14:paraId="5FF94B60"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5/6</w:t>
            </w:r>
          </w:p>
        </w:tc>
        <w:tc>
          <w:tcPr>
            <w:tcW w:w="2430" w:type="dxa"/>
            <w:tcBorders>
              <w:top w:val="single" w:sz="4" w:space="0" w:color="auto"/>
              <w:left w:val="single" w:sz="4" w:space="0" w:color="auto"/>
              <w:bottom w:val="single" w:sz="4" w:space="0" w:color="auto"/>
              <w:right w:val="single" w:sz="4" w:space="0" w:color="auto"/>
            </w:tcBorders>
            <w:hideMark/>
          </w:tcPr>
          <w:p w14:paraId="79CD8E11"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4/4</w:t>
            </w:r>
          </w:p>
        </w:tc>
        <w:tc>
          <w:tcPr>
            <w:tcW w:w="2340" w:type="dxa"/>
            <w:tcBorders>
              <w:top w:val="single" w:sz="4" w:space="0" w:color="auto"/>
              <w:left w:val="single" w:sz="4" w:space="0" w:color="auto"/>
              <w:bottom w:val="single" w:sz="4" w:space="0" w:color="auto"/>
              <w:right w:val="single" w:sz="4" w:space="0" w:color="auto"/>
            </w:tcBorders>
          </w:tcPr>
          <w:p w14:paraId="5DD02D77" w14:textId="77777777" w:rsidR="009F5279" w:rsidRPr="0014152A" w:rsidRDefault="009F5279" w:rsidP="004826F8">
            <w:pPr>
              <w:spacing w:before="100" w:beforeAutospacing="1" w:after="0" w:line="240" w:lineRule="auto"/>
              <w:jc w:val="center"/>
              <w:rPr>
                <w:rFonts w:ascii="Arial" w:eastAsia="Times New Roman" w:hAnsi="Arial" w:cs="Arial"/>
                <w:bCs/>
                <w:sz w:val="24"/>
                <w:szCs w:val="24"/>
              </w:rPr>
            </w:pPr>
            <w:r w:rsidRPr="0014152A">
              <w:rPr>
                <w:rFonts w:ascii="Arial" w:eastAsia="Times New Roman" w:hAnsi="Arial" w:cs="Arial"/>
                <w:bCs/>
                <w:sz w:val="24"/>
                <w:szCs w:val="24"/>
              </w:rPr>
              <w:t>5/7</w:t>
            </w:r>
          </w:p>
        </w:tc>
        <w:tc>
          <w:tcPr>
            <w:tcW w:w="2700" w:type="dxa"/>
            <w:tcBorders>
              <w:top w:val="single" w:sz="4" w:space="0" w:color="auto"/>
              <w:left w:val="single" w:sz="4" w:space="0" w:color="auto"/>
              <w:bottom w:val="single" w:sz="4" w:space="0" w:color="auto"/>
              <w:right w:val="single" w:sz="4" w:space="0" w:color="auto"/>
            </w:tcBorders>
            <w:hideMark/>
          </w:tcPr>
          <w:p w14:paraId="166D21D9" w14:textId="77777777" w:rsidR="009F5279" w:rsidRDefault="009F5279"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14/17</w:t>
            </w:r>
          </w:p>
        </w:tc>
      </w:tr>
      <w:tr w:rsidR="009F5279" w14:paraId="285CEA14" w14:textId="77777777" w:rsidTr="004826F8">
        <w:trPr>
          <w:trHeight w:val="1641"/>
        </w:trPr>
        <w:tc>
          <w:tcPr>
            <w:tcW w:w="4140" w:type="dxa"/>
            <w:tcBorders>
              <w:top w:val="single" w:sz="4" w:space="0" w:color="auto"/>
              <w:left w:val="single" w:sz="4" w:space="0" w:color="auto"/>
              <w:bottom w:val="single" w:sz="4" w:space="0" w:color="auto"/>
              <w:right w:val="single" w:sz="4" w:space="0" w:color="auto"/>
            </w:tcBorders>
            <w:hideMark/>
          </w:tcPr>
          <w:p w14:paraId="7E717764"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 xml:space="preserve">Yearly Attrition Rate (students who began final half of program but left (voluntarily or involuntarily)/# who began the final half </w:t>
            </w:r>
          </w:p>
        </w:tc>
        <w:tc>
          <w:tcPr>
            <w:tcW w:w="2430" w:type="dxa"/>
            <w:tcBorders>
              <w:top w:val="single" w:sz="4" w:space="0" w:color="auto"/>
              <w:left w:val="single" w:sz="4" w:space="0" w:color="auto"/>
              <w:bottom w:val="single" w:sz="4" w:space="0" w:color="auto"/>
              <w:right w:val="single" w:sz="4" w:space="0" w:color="auto"/>
            </w:tcBorders>
            <w:hideMark/>
          </w:tcPr>
          <w:p w14:paraId="61FE39C7"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1/6=16.6%</w:t>
            </w:r>
          </w:p>
        </w:tc>
        <w:tc>
          <w:tcPr>
            <w:tcW w:w="2430" w:type="dxa"/>
            <w:tcBorders>
              <w:top w:val="single" w:sz="4" w:space="0" w:color="auto"/>
              <w:left w:val="single" w:sz="4" w:space="0" w:color="auto"/>
              <w:bottom w:val="single" w:sz="4" w:space="0" w:color="auto"/>
              <w:right w:val="single" w:sz="4" w:space="0" w:color="auto"/>
            </w:tcBorders>
            <w:hideMark/>
          </w:tcPr>
          <w:p w14:paraId="70FB6A45"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0/4=0%</w:t>
            </w:r>
          </w:p>
        </w:tc>
        <w:tc>
          <w:tcPr>
            <w:tcW w:w="2340" w:type="dxa"/>
            <w:tcBorders>
              <w:top w:val="single" w:sz="4" w:space="0" w:color="auto"/>
              <w:left w:val="single" w:sz="4" w:space="0" w:color="auto"/>
              <w:bottom w:val="single" w:sz="4" w:space="0" w:color="auto"/>
              <w:right w:val="single" w:sz="4" w:space="0" w:color="auto"/>
            </w:tcBorders>
          </w:tcPr>
          <w:p w14:paraId="7828D73E" w14:textId="77777777" w:rsidR="009F5279" w:rsidRPr="0014152A" w:rsidRDefault="009F5279" w:rsidP="004826F8">
            <w:pPr>
              <w:spacing w:before="100" w:beforeAutospacing="1" w:after="0" w:line="240" w:lineRule="auto"/>
              <w:jc w:val="center"/>
              <w:rPr>
                <w:rFonts w:ascii="Arial" w:eastAsia="Times New Roman" w:hAnsi="Arial" w:cs="Arial"/>
                <w:bCs/>
                <w:sz w:val="24"/>
                <w:szCs w:val="24"/>
              </w:rPr>
            </w:pPr>
            <w:r w:rsidRPr="0014152A">
              <w:rPr>
                <w:rFonts w:ascii="Arial" w:eastAsia="Times New Roman" w:hAnsi="Arial" w:cs="Arial"/>
                <w:bCs/>
                <w:sz w:val="24"/>
                <w:szCs w:val="24"/>
              </w:rPr>
              <w:t>2/7=28.6%</w:t>
            </w:r>
          </w:p>
        </w:tc>
        <w:tc>
          <w:tcPr>
            <w:tcW w:w="2700" w:type="dxa"/>
            <w:tcBorders>
              <w:top w:val="single" w:sz="4" w:space="0" w:color="auto"/>
              <w:left w:val="single" w:sz="4" w:space="0" w:color="auto"/>
              <w:bottom w:val="single" w:sz="4" w:space="0" w:color="auto"/>
              <w:right w:val="single" w:sz="4" w:space="0" w:color="auto"/>
            </w:tcBorders>
            <w:hideMark/>
          </w:tcPr>
          <w:p w14:paraId="51D6613B" w14:textId="77777777" w:rsidR="009F5279" w:rsidRDefault="009F5279"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3/17=17.6%</w:t>
            </w:r>
          </w:p>
        </w:tc>
      </w:tr>
      <w:tr w:rsidR="009F5279" w14:paraId="4453246F" w14:textId="77777777" w:rsidTr="004826F8">
        <w:trPr>
          <w:trHeight w:val="813"/>
        </w:trPr>
        <w:tc>
          <w:tcPr>
            <w:tcW w:w="4140" w:type="dxa"/>
            <w:tcBorders>
              <w:top w:val="single" w:sz="4" w:space="0" w:color="auto"/>
              <w:left w:val="single" w:sz="4" w:space="0" w:color="auto"/>
              <w:bottom w:val="single" w:sz="4" w:space="0" w:color="auto"/>
              <w:right w:val="single" w:sz="4" w:space="0" w:color="auto"/>
            </w:tcBorders>
            <w:hideMark/>
          </w:tcPr>
          <w:p w14:paraId="0F8CCC59"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NAACLS Graduation Rate Threshold for a 3-year period</w:t>
            </w:r>
          </w:p>
        </w:tc>
        <w:tc>
          <w:tcPr>
            <w:tcW w:w="2430" w:type="dxa"/>
            <w:tcBorders>
              <w:top w:val="single" w:sz="4" w:space="0" w:color="auto"/>
              <w:left w:val="single" w:sz="4" w:space="0" w:color="auto"/>
              <w:bottom w:val="single" w:sz="4" w:space="0" w:color="auto"/>
              <w:right w:val="single" w:sz="4" w:space="0" w:color="auto"/>
            </w:tcBorders>
            <w:hideMark/>
          </w:tcPr>
          <w:p w14:paraId="278825F6"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2D25079D"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00A1E330" w14:textId="77777777" w:rsidR="009F5279" w:rsidRPr="0014152A"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14:paraId="5D95510C"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70%</w:t>
            </w:r>
          </w:p>
        </w:tc>
      </w:tr>
      <w:tr w:rsidR="009F5279" w14:paraId="180CAE3D" w14:textId="77777777" w:rsidTr="004826F8">
        <w:trPr>
          <w:trHeight w:val="827"/>
        </w:trPr>
        <w:tc>
          <w:tcPr>
            <w:tcW w:w="4140" w:type="dxa"/>
            <w:tcBorders>
              <w:top w:val="single" w:sz="4" w:space="0" w:color="auto"/>
              <w:left w:val="single" w:sz="4" w:space="0" w:color="auto"/>
              <w:bottom w:val="single" w:sz="4" w:space="0" w:color="auto"/>
              <w:right w:val="single" w:sz="4" w:space="0" w:color="auto"/>
            </w:tcBorders>
          </w:tcPr>
          <w:p w14:paraId="44A98AEB"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MU Graduation Rate</w:t>
            </w:r>
          </w:p>
          <w:p w14:paraId="374335FC" w14:textId="77777777" w:rsidR="009F5279" w:rsidRDefault="009F5279" w:rsidP="004826F8">
            <w:pPr>
              <w:spacing w:before="100" w:beforeAutospacing="1" w:after="0" w:line="240" w:lineRule="auto"/>
              <w:rPr>
                <w:rFonts w:ascii="Arial" w:eastAsia="Times New Roman" w:hAnsi="Arial" w:cs="Arial"/>
                <w:bCs/>
                <w:iCs/>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14:paraId="287ACB81"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83.4%</w:t>
            </w:r>
          </w:p>
        </w:tc>
        <w:tc>
          <w:tcPr>
            <w:tcW w:w="2430" w:type="dxa"/>
            <w:tcBorders>
              <w:top w:val="single" w:sz="4" w:space="0" w:color="auto"/>
              <w:left w:val="single" w:sz="4" w:space="0" w:color="auto"/>
              <w:bottom w:val="single" w:sz="4" w:space="0" w:color="auto"/>
              <w:right w:val="single" w:sz="4" w:space="0" w:color="auto"/>
            </w:tcBorders>
            <w:hideMark/>
          </w:tcPr>
          <w:p w14:paraId="09DDEE3B"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100%</w:t>
            </w:r>
          </w:p>
        </w:tc>
        <w:tc>
          <w:tcPr>
            <w:tcW w:w="2340" w:type="dxa"/>
            <w:tcBorders>
              <w:top w:val="single" w:sz="4" w:space="0" w:color="auto"/>
              <w:left w:val="single" w:sz="4" w:space="0" w:color="auto"/>
              <w:bottom w:val="single" w:sz="4" w:space="0" w:color="auto"/>
              <w:right w:val="single" w:sz="4" w:space="0" w:color="auto"/>
            </w:tcBorders>
          </w:tcPr>
          <w:p w14:paraId="22090329" w14:textId="77777777" w:rsidR="009F5279" w:rsidRPr="0014152A" w:rsidRDefault="009F5279" w:rsidP="004826F8">
            <w:pPr>
              <w:spacing w:before="100" w:beforeAutospacing="1" w:after="0" w:line="240" w:lineRule="auto"/>
              <w:jc w:val="center"/>
              <w:rPr>
                <w:rFonts w:ascii="Arial" w:eastAsia="Times New Roman" w:hAnsi="Arial" w:cs="Arial"/>
                <w:bCs/>
                <w:sz w:val="24"/>
                <w:szCs w:val="24"/>
              </w:rPr>
            </w:pPr>
            <w:r w:rsidRPr="0014152A">
              <w:rPr>
                <w:rFonts w:ascii="Arial" w:eastAsia="Times New Roman" w:hAnsi="Arial" w:cs="Arial"/>
                <w:bCs/>
                <w:sz w:val="24"/>
                <w:szCs w:val="24"/>
              </w:rPr>
              <w:t>71.4%</w:t>
            </w:r>
          </w:p>
        </w:tc>
        <w:tc>
          <w:tcPr>
            <w:tcW w:w="2700" w:type="dxa"/>
            <w:tcBorders>
              <w:top w:val="single" w:sz="4" w:space="0" w:color="auto"/>
              <w:left w:val="single" w:sz="4" w:space="0" w:color="auto"/>
              <w:bottom w:val="single" w:sz="4" w:space="0" w:color="auto"/>
              <w:right w:val="single" w:sz="4" w:space="0" w:color="auto"/>
            </w:tcBorders>
            <w:hideMark/>
          </w:tcPr>
          <w:p w14:paraId="4ECAF870" w14:textId="77777777" w:rsidR="009F5279" w:rsidRDefault="009F5279"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82.4%</w:t>
            </w:r>
          </w:p>
          <w:p w14:paraId="5BA9B189" w14:textId="77777777" w:rsidR="009F5279" w:rsidRDefault="009F5279"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Above NAACLS Threshold</w:t>
            </w:r>
          </w:p>
        </w:tc>
      </w:tr>
    </w:tbl>
    <w:p w14:paraId="398508FE" w14:textId="77777777" w:rsidR="009F5279" w:rsidRDefault="009F5279" w:rsidP="009F5279">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*To meet NAACLS accreditation standards, graduation rates are calculated based upon the number of students entering the final half of the MLT program. MU has determined the entry point of the final half to be the second semester of the second year of the program.</w:t>
      </w:r>
    </w:p>
    <w:p w14:paraId="3FB6BFE8" w14:textId="77777777" w:rsidR="009F5279" w:rsidRDefault="009F5279" w:rsidP="009F5279">
      <w:pPr>
        <w:spacing w:before="100" w:beforeAutospacing="1" w:after="0" w:line="240" w:lineRule="auto"/>
        <w:rPr>
          <w:rFonts w:ascii="Arial" w:eastAsia="Times New Roman" w:hAnsi="Arial" w:cs="Arial"/>
          <w:bCs/>
          <w:iCs/>
          <w:sz w:val="24"/>
          <w:szCs w:val="24"/>
        </w:rPr>
      </w:pPr>
    </w:p>
    <w:p w14:paraId="60ECF3A2" w14:textId="77777777" w:rsidR="009F5279" w:rsidRDefault="009F5279" w:rsidP="009F5279">
      <w:pPr>
        <w:spacing w:before="100" w:beforeAutospacing="1" w:after="0" w:line="240" w:lineRule="auto"/>
        <w:rPr>
          <w:rFonts w:ascii="Arial" w:eastAsia="Times New Roman" w:hAnsi="Arial" w:cs="Arial"/>
          <w:bCs/>
          <w:iCs/>
          <w:sz w:val="24"/>
          <w:szCs w:val="24"/>
        </w:rPr>
      </w:pPr>
    </w:p>
    <w:p w14:paraId="7D4B6B35" w14:textId="77777777" w:rsidR="009F5279" w:rsidRDefault="009F5279" w:rsidP="009F5279">
      <w:pPr>
        <w:spacing w:before="100" w:beforeAutospacing="1" w:after="0" w:line="240" w:lineRule="auto"/>
        <w:rPr>
          <w:rFonts w:ascii="Arial" w:eastAsia="Times New Roman" w:hAnsi="Arial" w:cs="Arial"/>
          <w:bCs/>
          <w:iCs/>
          <w:sz w:val="24"/>
          <w:szCs w:val="24"/>
        </w:rPr>
      </w:pPr>
    </w:p>
    <w:p w14:paraId="515CDCE5" w14:textId="77777777" w:rsidR="009F5279" w:rsidRDefault="009F5279" w:rsidP="009F5279">
      <w:pPr>
        <w:spacing w:before="100" w:beforeAutospacing="1" w:after="0" w:line="240" w:lineRule="auto"/>
        <w:rPr>
          <w:rFonts w:ascii="Arial" w:eastAsia="Times New Roman" w:hAnsi="Arial" w:cs="Arial"/>
          <w:bCs/>
          <w:iCs/>
          <w:sz w:val="24"/>
          <w:szCs w:val="24"/>
        </w:rPr>
      </w:pPr>
    </w:p>
    <w:p w14:paraId="729314C8" w14:textId="77777777" w:rsidR="009F5279" w:rsidRDefault="009F5279" w:rsidP="009F5279">
      <w:pPr>
        <w:spacing w:before="100" w:beforeAutospacing="1" w:after="0" w:line="240" w:lineRule="auto"/>
        <w:rPr>
          <w:rFonts w:ascii="Arial" w:eastAsia="Times New Roman" w:hAnsi="Arial" w:cs="Arial"/>
          <w:bCs/>
          <w:iCs/>
          <w:sz w:val="24"/>
          <w:szCs w:val="24"/>
        </w:rPr>
      </w:pPr>
    </w:p>
    <w:p w14:paraId="0F912376" w14:textId="77777777" w:rsidR="009F5279" w:rsidRDefault="009F5279" w:rsidP="009F5279">
      <w:pPr>
        <w:spacing w:before="100" w:beforeAutospacing="1" w:after="0" w:line="240" w:lineRule="auto"/>
        <w:rPr>
          <w:rFonts w:ascii="Arial" w:eastAsia="Times New Roman" w:hAnsi="Arial" w:cs="Arial"/>
          <w:bCs/>
          <w:iCs/>
          <w:sz w:val="24"/>
          <w:szCs w:val="24"/>
        </w:rPr>
      </w:pPr>
    </w:p>
    <w:tbl>
      <w:tblPr>
        <w:tblStyle w:val="TableGrid"/>
        <w:tblW w:w="0" w:type="auto"/>
        <w:tblInd w:w="0" w:type="dxa"/>
        <w:tblLook w:val="04A0" w:firstRow="1" w:lastRow="0" w:firstColumn="1" w:lastColumn="0" w:noHBand="0" w:noVBand="1"/>
      </w:tblPr>
      <w:tblGrid>
        <w:gridCol w:w="4225"/>
        <w:gridCol w:w="2430"/>
        <w:gridCol w:w="2430"/>
        <w:gridCol w:w="2340"/>
        <w:gridCol w:w="2700"/>
      </w:tblGrid>
      <w:tr w:rsidR="009F5279" w14:paraId="75B188AC" w14:textId="77777777" w:rsidTr="004826F8">
        <w:tc>
          <w:tcPr>
            <w:tcW w:w="1412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0A216F" w14:textId="77777777" w:rsidR="009F5279" w:rsidRDefault="009F5279" w:rsidP="004826F8">
            <w:pPr>
              <w:spacing w:before="100" w:beforeAutospacing="1"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MU MLT Graduate Placement Rates**</w:t>
            </w:r>
          </w:p>
        </w:tc>
      </w:tr>
      <w:tr w:rsidR="009F5279" w14:paraId="3DCF7184"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36D51729"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 xml:space="preserve">NAACLS Annual Report Data for Year:  </w:t>
            </w:r>
          </w:p>
        </w:tc>
        <w:tc>
          <w:tcPr>
            <w:tcW w:w="2430" w:type="dxa"/>
            <w:tcBorders>
              <w:top w:val="single" w:sz="4" w:space="0" w:color="auto"/>
              <w:left w:val="single" w:sz="4" w:space="0" w:color="auto"/>
              <w:bottom w:val="single" w:sz="4" w:space="0" w:color="auto"/>
              <w:right w:val="single" w:sz="4" w:space="0" w:color="auto"/>
            </w:tcBorders>
            <w:hideMark/>
          </w:tcPr>
          <w:p w14:paraId="27E6504B"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2022</w:t>
            </w:r>
          </w:p>
          <w:p w14:paraId="49A32343"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7/1/20-6/30/21</w:t>
            </w:r>
          </w:p>
        </w:tc>
        <w:tc>
          <w:tcPr>
            <w:tcW w:w="2430" w:type="dxa"/>
            <w:tcBorders>
              <w:top w:val="single" w:sz="4" w:space="0" w:color="auto"/>
              <w:left w:val="single" w:sz="4" w:space="0" w:color="auto"/>
              <w:bottom w:val="single" w:sz="4" w:space="0" w:color="auto"/>
              <w:right w:val="single" w:sz="4" w:space="0" w:color="auto"/>
            </w:tcBorders>
            <w:hideMark/>
          </w:tcPr>
          <w:p w14:paraId="128CAF43"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2023</w:t>
            </w:r>
          </w:p>
          <w:p w14:paraId="3A2C62B9"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7/1/21-6/30/22</w:t>
            </w:r>
          </w:p>
        </w:tc>
        <w:tc>
          <w:tcPr>
            <w:tcW w:w="2340" w:type="dxa"/>
            <w:tcBorders>
              <w:top w:val="single" w:sz="4" w:space="0" w:color="auto"/>
              <w:left w:val="single" w:sz="4" w:space="0" w:color="auto"/>
              <w:bottom w:val="single" w:sz="4" w:space="0" w:color="auto"/>
              <w:right w:val="single" w:sz="4" w:space="0" w:color="auto"/>
            </w:tcBorders>
            <w:hideMark/>
          </w:tcPr>
          <w:p w14:paraId="53D434B0"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2024</w:t>
            </w:r>
          </w:p>
          <w:p w14:paraId="0EF629D8"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7/1/22-6/30/23</w:t>
            </w:r>
          </w:p>
        </w:tc>
        <w:tc>
          <w:tcPr>
            <w:tcW w:w="2700" w:type="dxa"/>
            <w:tcBorders>
              <w:top w:val="single" w:sz="4" w:space="0" w:color="auto"/>
              <w:left w:val="single" w:sz="4" w:space="0" w:color="auto"/>
              <w:bottom w:val="single" w:sz="4" w:space="0" w:color="auto"/>
              <w:right w:val="single" w:sz="4" w:space="0" w:color="auto"/>
            </w:tcBorders>
            <w:hideMark/>
          </w:tcPr>
          <w:p w14:paraId="14AFF825"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3-year average</w:t>
            </w:r>
          </w:p>
        </w:tc>
      </w:tr>
      <w:tr w:rsidR="009F5279" w14:paraId="458EEC07"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5A42B922"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NAACLS Threshold for a 3-year period</w:t>
            </w:r>
          </w:p>
        </w:tc>
        <w:tc>
          <w:tcPr>
            <w:tcW w:w="2430" w:type="dxa"/>
            <w:tcBorders>
              <w:top w:val="single" w:sz="4" w:space="0" w:color="auto"/>
              <w:left w:val="single" w:sz="4" w:space="0" w:color="auto"/>
              <w:bottom w:val="single" w:sz="4" w:space="0" w:color="auto"/>
              <w:right w:val="single" w:sz="4" w:space="0" w:color="auto"/>
            </w:tcBorders>
          </w:tcPr>
          <w:p w14:paraId="4CC52192" w14:textId="77777777" w:rsidR="009F5279" w:rsidRDefault="009F5279" w:rsidP="004826F8">
            <w:pPr>
              <w:spacing w:before="100" w:beforeAutospacing="1" w:after="0" w:line="240" w:lineRule="auto"/>
              <w:rPr>
                <w:rFonts w:ascii="Arial" w:eastAsia="Times New Roman" w:hAnsi="Arial" w:cs="Arial"/>
                <w:bCs/>
                <w:iCs/>
                <w:sz w:val="24"/>
                <w:szCs w:val="24"/>
              </w:rPr>
            </w:pPr>
          </w:p>
        </w:tc>
        <w:tc>
          <w:tcPr>
            <w:tcW w:w="2430" w:type="dxa"/>
            <w:tcBorders>
              <w:top w:val="single" w:sz="4" w:space="0" w:color="auto"/>
              <w:left w:val="single" w:sz="4" w:space="0" w:color="auto"/>
              <w:bottom w:val="single" w:sz="4" w:space="0" w:color="auto"/>
              <w:right w:val="single" w:sz="4" w:space="0" w:color="auto"/>
            </w:tcBorders>
          </w:tcPr>
          <w:p w14:paraId="41A5BE2C" w14:textId="77777777" w:rsidR="009F5279" w:rsidRDefault="009F5279" w:rsidP="004826F8">
            <w:pPr>
              <w:spacing w:before="100" w:beforeAutospacing="1" w:after="0" w:line="240" w:lineRule="auto"/>
              <w:rPr>
                <w:rFonts w:ascii="Arial" w:eastAsia="Times New Roman" w:hAnsi="Arial" w:cs="Arial"/>
                <w:bCs/>
                <w:iC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E7D798D" w14:textId="77777777" w:rsidR="009F5279" w:rsidRDefault="009F5279" w:rsidP="004826F8">
            <w:pPr>
              <w:spacing w:before="100" w:beforeAutospacing="1" w:after="0" w:line="240" w:lineRule="auto"/>
              <w:rPr>
                <w:rFonts w:ascii="Arial" w:eastAsia="Times New Roman" w:hAnsi="Arial" w:cs="Arial"/>
                <w:bCs/>
                <w:iCs/>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7EACC859"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70%</w:t>
            </w:r>
          </w:p>
        </w:tc>
      </w:tr>
      <w:tr w:rsidR="009F5279" w14:paraId="55022269" w14:textId="77777777" w:rsidTr="004826F8">
        <w:tc>
          <w:tcPr>
            <w:tcW w:w="4225" w:type="dxa"/>
            <w:tcBorders>
              <w:top w:val="single" w:sz="4" w:space="0" w:color="auto"/>
              <w:left w:val="single" w:sz="4" w:space="0" w:color="auto"/>
              <w:bottom w:val="single" w:sz="4" w:space="0" w:color="auto"/>
              <w:right w:val="single" w:sz="4" w:space="0" w:color="auto"/>
            </w:tcBorders>
          </w:tcPr>
          <w:p w14:paraId="17019F63"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MU Placement Rates</w:t>
            </w:r>
          </w:p>
          <w:p w14:paraId="344C6073" w14:textId="77777777" w:rsidR="009F5279" w:rsidRDefault="009F5279" w:rsidP="004826F8">
            <w:pPr>
              <w:spacing w:before="100" w:beforeAutospacing="1" w:after="0" w:line="240" w:lineRule="auto"/>
              <w:rPr>
                <w:rFonts w:ascii="Arial" w:eastAsia="Times New Roman" w:hAnsi="Arial" w:cs="Arial"/>
                <w:bCs/>
                <w:iCs/>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14:paraId="711CDA31"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100%</w:t>
            </w:r>
          </w:p>
        </w:tc>
        <w:tc>
          <w:tcPr>
            <w:tcW w:w="2430" w:type="dxa"/>
            <w:tcBorders>
              <w:top w:val="single" w:sz="4" w:space="0" w:color="auto"/>
              <w:left w:val="single" w:sz="4" w:space="0" w:color="auto"/>
              <w:bottom w:val="single" w:sz="4" w:space="0" w:color="auto"/>
              <w:right w:val="single" w:sz="4" w:space="0" w:color="auto"/>
            </w:tcBorders>
            <w:hideMark/>
          </w:tcPr>
          <w:p w14:paraId="7AEB6F66"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100%</w:t>
            </w:r>
          </w:p>
        </w:tc>
        <w:tc>
          <w:tcPr>
            <w:tcW w:w="2340" w:type="dxa"/>
            <w:tcBorders>
              <w:top w:val="single" w:sz="4" w:space="0" w:color="auto"/>
              <w:left w:val="single" w:sz="4" w:space="0" w:color="auto"/>
              <w:bottom w:val="single" w:sz="4" w:space="0" w:color="auto"/>
              <w:right w:val="single" w:sz="4" w:space="0" w:color="auto"/>
            </w:tcBorders>
            <w:hideMark/>
          </w:tcPr>
          <w:p w14:paraId="351DA7F2"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100%</w:t>
            </w:r>
          </w:p>
        </w:tc>
        <w:tc>
          <w:tcPr>
            <w:tcW w:w="2700" w:type="dxa"/>
            <w:tcBorders>
              <w:top w:val="single" w:sz="4" w:space="0" w:color="auto"/>
              <w:left w:val="single" w:sz="4" w:space="0" w:color="auto"/>
              <w:bottom w:val="single" w:sz="4" w:space="0" w:color="auto"/>
              <w:right w:val="single" w:sz="4" w:space="0" w:color="auto"/>
            </w:tcBorders>
            <w:hideMark/>
          </w:tcPr>
          <w:p w14:paraId="4DC0CD8C"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100%</w:t>
            </w:r>
          </w:p>
          <w:p w14:paraId="789A5D81"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Above NAACLS Threshold</w:t>
            </w:r>
          </w:p>
        </w:tc>
      </w:tr>
    </w:tbl>
    <w:p w14:paraId="4DEEFC6C" w14:textId="77777777" w:rsidR="009F5279" w:rsidRDefault="009F5279" w:rsidP="009F5279">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**Employment in the field of study or a closely related field (for those who seek employment) or continuation of education within one year of graduation</w:t>
      </w:r>
    </w:p>
    <w:tbl>
      <w:tblPr>
        <w:tblStyle w:val="TableGrid"/>
        <w:tblW w:w="14125" w:type="dxa"/>
        <w:tblInd w:w="0" w:type="dxa"/>
        <w:tblLook w:val="04A0" w:firstRow="1" w:lastRow="0" w:firstColumn="1" w:lastColumn="0" w:noHBand="0" w:noVBand="1"/>
      </w:tblPr>
      <w:tblGrid>
        <w:gridCol w:w="4225"/>
        <w:gridCol w:w="2430"/>
        <w:gridCol w:w="2430"/>
        <w:gridCol w:w="2340"/>
        <w:gridCol w:w="2700"/>
      </w:tblGrid>
      <w:tr w:rsidR="009F5279" w14:paraId="6848AF95" w14:textId="77777777" w:rsidTr="004826F8">
        <w:tc>
          <w:tcPr>
            <w:tcW w:w="1412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692C0" w14:textId="77777777" w:rsidR="009F5279" w:rsidRDefault="009F5279" w:rsidP="004826F8">
            <w:pPr>
              <w:spacing w:before="100" w:beforeAutospacing="1"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MU MLT Program Graduate Certification Pass Rates***</w:t>
            </w:r>
          </w:p>
        </w:tc>
      </w:tr>
      <w:tr w:rsidR="009F5279" w14:paraId="0E6F7DA8"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4784CD2E"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 xml:space="preserve">NAACLS Annual Report Data for Year:  </w:t>
            </w:r>
          </w:p>
        </w:tc>
        <w:tc>
          <w:tcPr>
            <w:tcW w:w="2430" w:type="dxa"/>
            <w:tcBorders>
              <w:top w:val="single" w:sz="4" w:space="0" w:color="auto"/>
              <w:left w:val="single" w:sz="4" w:space="0" w:color="auto"/>
              <w:bottom w:val="single" w:sz="4" w:space="0" w:color="auto"/>
              <w:right w:val="single" w:sz="4" w:space="0" w:color="auto"/>
            </w:tcBorders>
            <w:hideMark/>
          </w:tcPr>
          <w:p w14:paraId="4CC046AF"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2022</w:t>
            </w:r>
          </w:p>
          <w:p w14:paraId="076493C6"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7/1/20-6/30/21</w:t>
            </w:r>
          </w:p>
        </w:tc>
        <w:tc>
          <w:tcPr>
            <w:tcW w:w="2430" w:type="dxa"/>
            <w:tcBorders>
              <w:top w:val="single" w:sz="4" w:space="0" w:color="auto"/>
              <w:left w:val="single" w:sz="4" w:space="0" w:color="auto"/>
              <w:bottom w:val="single" w:sz="4" w:space="0" w:color="auto"/>
              <w:right w:val="single" w:sz="4" w:space="0" w:color="auto"/>
            </w:tcBorders>
            <w:hideMark/>
          </w:tcPr>
          <w:p w14:paraId="3885D17F"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2023</w:t>
            </w:r>
          </w:p>
          <w:p w14:paraId="00C2C251" w14:textId="77777777" w:rsidR="009F5279" w:rsidRDefault="009F5279"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7/1/21-6/30/22</w:t>
            </w:r>
          </w:p>
        </w:tc>
        <w:tc>
          <w:tcPr>
            <w:tcW w:w="2340" w:type="dxa"/>
            <w:tcBorders>
              <w:top w:val="single" w:sz="4" w:space="0" w:color="auto"/>
              <w:left w:val="single" w:sz="4" w:space="0" w:color="auto"/>
              <w:bottom w:val="single" w:sz="4" w:space="0" w:color="auto"/>
              <w:right w:val="single" w:sz="4" w:space="0" w:color="auto"/>
            </w:tcBorders>
          </w:tcPr>
          <w:p w14:paraId="4AA55459"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sidRPr="00C37D60">
              <w:rPr>
                <w:rFonts w:ascii="Arial" w:eastAsia="Times New Roman" w:hAnsi="Arial" w:cs="Arial"/>
                <w:bCs/>
                <w:iCs/>
                <w:sz w:val="24"/>
                <w:szCs w:val="24"/>
              </w:rPr>
              <w:t>2024</w:t>
            </w:r>
          </w:p>
          <w:p w14:paraId="43A1B9A4" w14:textId="77777777" w:rsidR="009F5279" w:rsidRPr="00C37D60"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Graduates between 7/1/22 – 6/30/23</w:t>
            </w:r>
          </w:p>
        </w:tc>
        <w:tc>
          <w:tcPr>
            <w:tcW w:w="2700" w:type="dxa"/>
            <w:tcBorders>
              <w:top w:val="single" w:sz="4" w:space="0" w:color="auto"/>
              <w:left w:val="single" w:sz="4" w:space="0" w:color="auto"/>
              <w:bottom w:val="single" w:sz="4" w:space="0" w:color="auto"/>
              <w:right w:val="single" w:sz="4" w:space="0" w:color="auto"/>
            </w:tcBorders>
            <w:hideMark/>
          </w:tcPr>
          <w:p w14:paraId="2E5BAFAE" w14:textId="77777777" w:rsidR="009F5279" w:rsidRDefault="009F5279" w:rsidP="004826F8">
            <w:pPr>
              <w:spacing w:before="100" w:beforeAutospacing="1" w:after="0" w:line="240" w:lineRule="auto"/>
              <w:rPr>
                <w:rFonts w:ascii="Arial" w:eastAsia="Times New Roman" w:hAnsi="Arial" w:cs="Arial"/>
                <w:b/>
                <w:iCs/>
                <w:sz w:val="24"/>
                <w:szCs w:val="24"/>
              </w:rPr>
            </w:pPr>
            <w:r>
              <w:rPr>
                <w:rFonts w:ascii="Arial" w:eastAsia="Times New Roman" w:hAnsi="Arial" w:cs="Arial"/>
                <w:b/>
                <w:iCs/>
                <w:sz w:val="24"/>
                <w:szCs w:val="24"/>
              </w:rPr>
              <w:t>3-year average</w:t>
            </w:r>
          </w:p>
        </w:tc>
      </w:tr>
      <w:tr w:rsidR="009F5279" w14:paraId="2CECF472"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66344888"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NAACLS Threshold for a 3-year period</w:t>
            </w:r>
          </w:p>
        </w:tc>
        <w:tc>
          <w:tcPr>
            <w:tcW w:w="2430" w:type="dxa"/>
            <w:tcBorders>
              <w:top w:val="single" w:sz="4" w:space="0" w:color="auto"/>
              <w:left w:val="single" w:sz="4" w:space="0" w:color="auto"/>
              <w:bottom w:val="single" w:sz="4" w:space="0" w:color="auto"/>
              <w:right w:val="single" w:sz="4" w:space="0" w:color="auto"/>
            </w:tcBorders>
            <w:hideMark/>
          </w:tcPr>
          <w:p w14:paraId="7ECF7393"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7791DD5D" w14:textId="77777777" w:rsidR="009F5279" w:rsidRDefault="009F5279"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31E62881"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14:paraId="65ACB01B" w14:textId="77777777" w:rsidR="009F5279" w:rsidRDefault="009F5279"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75%</w:t>
            </w:r>
          </w:p>
        </w:tc>
      </w:tr>
      <w:tr w:rsidR="009F5279" w14:paraId="011C20BC"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196A7DD4"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MU Certification Rates</w:t>
            </w:r>
          </w:p>
          <w:p w14:paraId="2569DB46" w14:textId="77777777" w:rsidR="009F5279" w:rsidRDefault="009F5279"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 xml:space="preserve"># Of students taking the exam and passing within the first year after graduation/# of students who sat for the exam within the first year of graduation </w:t>
            </w:r>
          </w:p>
        </w:tc>
        <w:tc>
          <w:tcPr>
            <w:tcW w:w="2430" w:type="dxa"/>
            <w:tcBorders>
              <w:top w:val="single" w:sz="4" w:space="0" w:color="auto"/>
              <w:left w:val="single" w:sz="4" w:space="0" w:color="auto"/>
              <w:bottom w:val="single" w:sz="4" w:space="0" w:color="auto"/>
              <w:right w:val="single" w:sz="4" w:space="0" w:color="auto"/>
            </w:tcBorders>
            <w:hideMark/>
          </w:tcPr>
          <w:p w14:paraId="690DDB2D" w14:textId="77777777" w:rsidR="009F5279" w:rsidRDefault="009F5279" w:rsidP="004826F8">
            <w:pPr>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6/6=100%</w:t>
            </w:r>
          </w:p>
        </w:tc>
        <w:tc>
          <w:tcPr>
            <w:tcW w:w="2430" w:type="dxa"/>
            <w:tcBorders>
              <w:top w:val="single" w:sz="4" w:space="0" w:color="auto"/>
              <w:left w:val="single" w:sz="4" w:space="0" w:color="auto"/>
              <w:bottom w:val="single" w:sz="4" w:space="0" w:color="auto"/>
              <w:right w:val="single" w:sz="4" w:space="0" w:color="auto"/>
            </w:tcBorders>
            <w:hideMark/>
          </w:tcPr>
          <w:p w14:paraId="539E49E1" w14:textId="77777777" w:rsidR="009F5279" w:rsidRDefault="009F5279" w:rsidP="004826F8">
            <w:pPr>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6/6=100%</w:t>
            </w:r>
          </w:p>
        </w:tc>
        <w:tc>
          <w:tcPr>
            <w:tcW w:w="2340" w:type="dxa"/>
            <w:tcBorders>
              <w:top w:val="single" w:sz="4" w:space="0" w:color="auto"/>
              <w:left w:val="single" w:sz="4" w:space="0" w:color="auto"/>
              <w:bottom w:val="single" w:sz="4" w:space="0" w:color="auto"/>
              <w:right w:val="single" w:sz="4" w:space="0" w:color="auto"/>
            </w:tcBorders>
          </w:tcPr>
          <w:p w14:paraId="7A85123A" w14:textId="77777777" w:rsidR="009F5279" w:rsidRPr="00EF38CB" w:rsidRDefault="009F5279" w:rsidP="004826F8">
            <w:pPr>
              <w:spacing w:before="100" w:beforeAutospacing="1" w:after="0" w:line="240" w:lineRule="auto"/>
              <w:jc w:val="center"/>
              <w:rPr>
                <w:rFonts w:ascii="Arial" w:eastAsia="Times New Roman" w:hAnsi="Arial" w:cs="Arial"/>
                <w:bCs/>
                <w:sz w:val="24"/>
                <w:szCs w:val="24"/>
              </w:rPr>
            </w:pPr>
            <w:r w:rsidRPr="00EF38CB">
              <w:rPr>
                <w:rFonts w:ascii="Arial" w:eastAsia="Times New Roman" w:hAnsi="Arial" w:cs="Arial"/>
                <w:bCs/>
                <w:sz w:val="24"/>
                <w:szCs w:val="24"/>
              </w:rPr>
              <w:t>4/5=80%</w:t>
            </w:r>
          </w:p>
        </w:tc>
        <w:tc>
          <w:tcPr>
            <w:tcW w:w="2700" w:type="dxa"/>
            <w:tcBorders>
              <w:top w:val="single" w:sz="4" w:space="0" w:color="auto"/>
              <w:left w:val="single" w:sz="4" w:space="0" w:color="auto"/>
              <w:bottom w:val="single" w:sz="4" w:space="0" w:color="auto"/>
              <w:right w:val="single" w:sz="4" w:space="0" w:color="auto"/>
            </w:tcBorders>
            <w:hideMark/>
          </w:tcPr>
          <w:p w14:paraId="5E1944F0" w14:textId="77777777" w:rsidR="009F5279" w:rsidRDefault="009F5279"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16/17=94.1%</w:t>
            </w:r>
          </w:p>
          <w:p w14:paraId="0A768D6C" w14:textId="77777777" w:rsidR="009F5279" w:rsidRDefault="009F5279"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Above NAACLS Threshold</w:t>
            </w:r>
          </w:p>
        </w:tc>
      </w:tr>
    </w:tbl>
    <w:p w14:paraId="2F207E20" w14:textId="77777777" w:rsidR="009F5279" w:rsidRDefault="009F5279" w:rsidP="009F5279">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***Certification rates of those taking the exams and passing within the first year of graduation</w:t>
      </w:r>
    </w:p>
    <w:p w14:paraId="0C936374" w14:textId="77777777" w:rsidR="009F5279" w:rsidRDefault="009F5279" w:rsidP="009F5279">
      <w:pPr>
        <w:spacing w:before="100" w:beforeAutospacing="1" w:after="0" w:line="240" w:lineRule="auto"/>
        <w:jc w:val="center"/>
        <w:rPr>
          <w:rFonts w:ascii="Arial" w:eastAsia="Times New Roman" w:hAnsi="Arial" w:cs="Arial"/>
          <w:b/>
          <w:bCs/>
          <w:iCs/>
          <w:sz w:val="24"/>
          <w:szCs w:val="24"/>
        </w:rPr>
      </w:pPr>
    </w:p>
    <w:p w14:paraId="0D5AFF3F" w14:textId="77777777" w:rsidR="009F5279" w:rsidRDefault="009F5279" w:rsidP="009F5279">
      <w:pPr>
        <w:spacing w:before="100" w:beforeAutospacing="1" w:after="0" w:line="240" w:lineRule="auto"/>
        <w:jc w:val="center"/>
        <w:rPr>
          <w:rFonts w:ascii="Arial" w:eastAsia="Times New Roman" w:hAnsi="Arial" w:cs="Arial"/>
          <w:b/>
          <w:bCs/>
          <w:iCs/>
          <w:sz w:val="24"/>
          <w:szCs w:val="24"/>
        </w:rPr>
      </w:pPr>
    </w:p>
    <w:p w14:paraId="6B257F4C" w14:textId="77777777" w:rsidR="007207C5" w:rsidRDefault="007207C5"/>
    <w:sectPr w:rsidR="007207C5" w:rsidSect="009F5279">
      <w:pgSz w:w="15840" w:h="12240" w:orient="landscape"/>
      <w:pgMar w:top="720" w:right="80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79"/>
    <w:rsid w:val="000D104F"/>
    <w:rsid w:val="005D4BDF"/>
    <w:rsid w:val="007207C5"/>
    <w:rsid w:val="00780662"/>
    <w:rsid w:val="00895776"/>
    <w:rsid w:val="009F5279"/>
    <w:rsid w:val="00A158A7"/>
    <w:rsid w:val="00B7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BBDC0"/>
  <w15:chartTrackingRefBased/>
  <w15:docId w15:val="{66EB5A33-AB2B-3741-8CD0-7109FBBF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7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9F527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527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527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527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F527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F527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F527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F527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F527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5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5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5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5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5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279"/>
    <w:rPr>
      <w:rFonts w:eastAsiaTheme="majorEastAsia" w:cstheme="majorBidi"/>
      <w:color w:val="272727" w:themeColor="text1" w:themeTint="D8"/>
    </w:rPr>
  </w:style>
  <w:style w:type="paragraph" w:styleId="Title">
    <w:name w:val="Title"/>
    <w:basedOn w:val="Normal"/>
    <w:next w:val="Normal"/>
    <w:link w:val="TitleChar"/>
    <w:uiPriority w:val="10"/>
    <w:qFormat/>
    <w:rsid w:val="009F52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5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2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5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27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F5279"/>
    <w:rPr>
      <w:i/>
      <w:iCs/>
      <w:color w:val="404040" w:themeColor="text1" w:themeTint="BF"/>
    </w:rPr>
  </w:style>
  <w:style w:type="paragraph" w:styleId="ListParagraph">
    <w:name w:val="List Paragraph"/>
    <w:basedOn w:val="Normal"/>
    <w:uiPriority w:val="34"/>
    <w:qFormat/>
    <w:rsid w:val="009F527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F5279"/>
    <w:rPr>
      <w:i/>
      <w:iCs/>
      <w:color w:val="2F5496" w:themeColor="accent1" w:themeShade="BF"/>
    </w:rPr>
  </w:style>
  <w:style w:type="paragraph" w:styleId="IntenseQuote">
    <w:name w:val="Intense Quote"/>
    <w:basedOn w:val="Normal"/>
    <w:next w:val="Normal"/>
    <w:link w:val="IntenseQuoteChar"/>
    <w:uiPriority w:val="30"/>
    <w:qFormat/>
    <w:rsid w:val="009F527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F5279"/>
    <w:rPr>
      <w:i/>
      <w:iCs/>
      <w:color w:val="2F5496" w:themeColor="accent1" w:themeShade="BF"/>
    </w:rPr>
  </w:style>
  <w:style w:type="character" w:styleId="IntenseReference">
    <w:name w:val="Intense Reference"/>
    <w:basedOn w:val="DefaultParagraphFont"/>
    <w:uiPriority w:val="32"/>
    <w:qFormat/>
    <w:rsid w:val="009F5279"/>
    <w:rPr>
      <w:b/>
      <w:bCs/>
      <w:smallCaps/>
      <w:color w:val="2F5496" w:themeColor="accent1" w:themeShade="BF"/>
      <w:spacing w:val="5"/>
    </w:rPr>
  </w:style>
  <w:style w:type="table" w:styleId="TableGrid">
    <w:name w:val="Table Grid"/>
    <w:basedOn w:val="TableNormal"/>
    <w:uiPriority w:val="59"/>
    <w:rsid w:val="009F5279"/>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Jennifer</dc:creator>
  <cp:keywords/>
  <dc:description/>
  <cp:lastModifiedBy>Perry, Jennifer</cp:lastModifiedBy>
  <cp:revision>1</cp:revision>
  <dcterms:created xsi:type="dcterms:W3CDTF">2025-02-21T16:49:00Z</dcterms:created>
  <dcterms:modified xsi:type="dcterms:W3CDTF">2025-02-21T16:56:00Z</dcterms:modified>
</cp:coreProperties>
</file>